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526BB1" w14:paraId="0DAAE1EC" w14:textId="77777777" w:rsidTr="00526BB1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526BB1" w14:paraId="10C8C9B3" w14:textId="77777777" w:rsidTr="00526BB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340FFA" w14:textId="77777777" w:rsidR="00526BB1" w:rsidRDefault="00526BB1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5E872" w14:textId="77777777" w:rsidR="00526BB1" w:rsidRDefault="00526BB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526BB1" w14:paraId="4E7FC3FA" w14:textId="77777777" w:rsidTr="00526BB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EE9D31" w14:textId="77777777" w:rsidR="00526BB1" w:rsidRDefault="00526BB1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110704" w14:textId="0AB21526" w:rsidR="00526BB1" w:rsidRDefault="00526BB1">
                  <w:r>
                    <w:rPr>
                      <w:color w:val="000000"/>
                      <w:sz w:val="24"/>
                    </w:rPr>
                    <w:t xml:space="preserve">Lietuvos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ministerijos</w:t>
                  </w:r>
                  <w:r w:rsidR="007B745D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7B745D"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 w:rsidR="007B745D">
                    <w:rPr>
                      <w:color w:val="000000"/>
                      <w:sz w:val="24"/>
                    </w:rPr>
                    <w:t xml:space="preserve"> įsakymu</w:t>
                  </w:r>
                </w:p>
              </w:tc>
            </w:tr>
            <w:tr w:rsidR="00526BB1" w14:paraId="2E641E20" w14:textId="77777777" w:rsidTr="00526BB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8E1D66" w14:textId="77777777" w:rsidR="00526BB1" w:rsidRDefault="00526BB1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0A81C8" w14:textId="3BD90FBD" w:rsidR="00526BB1" w:rsidRDefault="007B745D">
                  <w:r>
                    <w:t xml:space="preserve">2024 m. </w:t>
                  </w:r>
                  <w:proofErr w:type="spellStart"/>
                  <w:r>
                    <w:t>vasario</w:t>
                  </w:r>
                  <w:proofErr w:type="spellEnd"/>
                  <w:r>
                    <w:t xml:space="preserve"> 1 d.</w:t>
                  </w:r>
                </w:p>
              </w:tc>
            </w:tr>
            <w:tr w:rsidR="00526BB1" w14:paraId="4BF30ACE" w14:textId="77777777" w:rsidTr="00526BB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46D1E" w14:textId="77777777" w:rsidR="00526BB1" w:rsidRDefault="00526BB1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AFA48" w14:textId="17E54DC9" w:rsidR="00526BB1" w:rsidRDefault="00526BB1">
                  <w:r>
                    <w:rPr>
                      <w:color w:val="000000"/>
                      <w:sz w:val="24"/>
                    </w:rPr>
                    <w:t xml:space="preserve"> Nr.: </w:t>
                  </w:r>
                  <w:r w:rsidR="007B745D">
                    <w:rPr>
                      <w:color w:val="000000"/>
                      <w:sz w:val="24"/>
                    </w:rPr>
                    <w:t>P-39</w:t>
                  </w:r>
                </w:p>
              </w:tc>
            </w:tr>
            <w:tr w:rsidR="00526BB1" w14:paraId="236CC550" w14:textId="77777777" w:rsidTr="00526BB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F25368" w14:textId="77777777" w:rsidR="00526BB1" w:rsidRDefault="00526BB1"/>
              </w:tc>
            </w:tr>
            <w:tr w:rsidR="00526BB1" w14:paraId="7EA8CB41" w14:textId="77777777" w:rsidTr="00526BB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A5639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LIETUVOS KINO CENTRO PRIE KULTŪROS MINISTERIJOS</w:t>
                  </w:r>
                </w:p>
              </w:tc>
            </w:tr>
            <w:tr w:rsidR="00526BB1" w14:paraId="763DFC64" w14:textId="77777777" w:rsidTr="00526BB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8A8835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FILMŲ GAMYBOS SKYRIAUS</w:t>
                  </w:r>
                </w:p>
              </w:tc>
            </w:tr>
            <w:tr w:rsidR="00526BB1" w14:paraId="2BB45605" w14:textId="77777777" w:rsidTr="00526BB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87C9E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PATARĖJAS</w:t>
                  </w:r>
                </w:p>
              </w:tc>
            </w:tr>
            <w:tr w:rsidR="00526BB1" w14:paraId="6908F1C9" w14:textId="77777777" w:rsidTr="00526BB1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54BA0F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1730A81B" w14:textId="77777777" w:rsidR="00526BB1" w:rsidRDefault="00526BB1"/>
        </w:tc>
        <w:tc>
          <w:tcPr>
            <w:tcW w:w="13" w:type="dxa"/>
          </w:tcPr>
          <w:p w14:paraId="336D92F0" w14:textId="77777777" w:rsidR="00526BB1" w:rsidRDefault="00526BB1">
            <w:pPr>
              <w:pStyle w:val="EmptyLayoutCell"/>
            </w:pPr>
          </w:p>
        </w:tc>
      </w:tr>
      <w:tr w:rsidR="002E4E0F" w14:paraId="70DC7A6A" w14:textId="77777777">
        <w:trPr>
          <w:trHeight w:val="349"/>
        </w:trPr>
        <w:tc>
          <w:tcPr>
            <w:tcW w:w="13" w:type="dxa"/>
          </w:tcPr>
          <w:p w14:paraId="6FA9E150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6335BE4F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1FD2CD78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7521363A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162A53C5" w14:textId="77777777" w:rsidR="00526BB1" w:rsidRDefault="00526BB1">
            <w:pPr>
              <w:pStyle w:val="EmptyLayoutCell"/>
            </w:pPr>
          </w:p>
        </w:tc>
      </w:tr>
      <w:tr w:rsidR="00526BB1" w14:paraId="1F704513" w14:textId="77777777" w:rsidTr="00526BB1">
        <w:tc>
          <w:tcPr>
            <w:tcW w:w="13" w:type="dxa"/>
          </w:tcPr>
          <w:p w14:paraId="55512A25" w14:textId="77777777" w:rsidR="00526BB1" w:rsidRDefault="00526BB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77781A58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AAE2D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6B88BAEE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E4E0F" w14:paraId="32E51E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9792BC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VIII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79F7A69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CB07D1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CBE6AD0" w14:textId="77777777" w:rsidR="00526BB1" w:rsidRDefault="00526BB1"/>
        </w:tc>
      </w:tr>
      <w:tr w:rsidR="002E4E0F" w14:paraId="2079861A" w14:textId="77777777">
        <w:trPr>
          <w:trHeight w:val="120"/>
        </w:trPr>
        <w:tc>
          <w:tcPr>
            <w:tcW w:w="13" w:type="dxa"/>
          </w:tcPr>
          <w:p w14:paraId="3116AEC3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4E3B45E8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52F5B1AB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36ADC58A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437FFF7F" w14:textId="77777777" w:rsidR="00526BB1" w:rsidRDefault="00526BB1">
            <w:pPr>
              <w:pStyle w:val="EmptyLayoutCell"/>
            </w:pPr>
          </w:p>
        </w:tc>
      </w:tr>
      <w:tr w:rsidR="00526BB1" w14:paraId="0CCA74FF" w14:textId="77777777" w:rsidTr="00526BB1">
        <w:tc>
          <w:tcPr>
            <w:tcW w:w="13" w:type="dxa"/>
          </w:tcPr>
          <w:p w14:paraId="711A5A8D" w14:textId="77777777" w:rsidR="00526BB1" w:rsidRDefault="00526BB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77B7135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0BB87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6BF6D786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1593B7A7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E0F" w14:paraId="17DB26C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6D9432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2E4E0F" w14:paraId="45E4D6E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6C1169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laikymosi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715ACD1" w14:textId="77777777" w:rsidR="00526BB1" w:rsidRDefault="00526BB1"/>
              </w:tc>
            </w:tr>
          </w:tbl>
          <w:p w14:paraId="5EF94088" w14:textId="77777777" w:rsidR="00526BB1" w:rsidRDefault="00526BB1"/>
        </w:tc>
      </w:tr>
      <w:tr w:rsidR="002E4E0F" w14:paraId="25C10EF3" w14:textId="77777777">
        <w:trPr>
          <w:trHeight w:val="126"/>
        </w:trPr>
        <w:tc>
          <w:tcPr>
            <w:tcW w:w="13" w:type="dxa"/>
          </w:tcPr>
          <w:p w14:paraId="4DF70E09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19E26057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1C96A0C1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59A1D9F6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3133A801" w14:textId="77777777" w:rsidR="00526BB1" w:rsidRDefault="00526BB1">
            <w:pPr>
              <w:pStyle w:val="EmptyLayoutCell"/>
            </w:pPr>
          </w:p>
        </w:tc>
      </w:tr>
      <w:tr w:rsidR="00526BB1" w14:paraId="3490EB83" w14:textId="77777777" w:rsidTr="00526BB1">
        <w:tc>
          <w:tcPr>
            <w:tcW w:w="13" w:type="dxa"/>
          </w:tcPr>
          <w:p w14:paraId="7A6738EB" w14:textId="77777777" w:rsidR="00526BB1" w:rsidRDefault="00526BB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7247843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FF9BDC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3D0B36F1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3836D329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E4E0F" w14:paraId="2DF2F38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CA8AC9E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Pelno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mokesčio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lengvatos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filmų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gamybai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schemos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2E4E0F" w14:paraId="78C643B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C7467FD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Finansuojamų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filmų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parengiamųjų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gamybos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69212935" w14:textId="77777777" w:rsidR="00526BB1" w:rsidRDefault="00526BB1"/>
              </w:tc>
            </w:tr>
          </w:tbl>
          <w:p w14:paraId="2A4F9DDE" w14:textId="77777777" w:rsidR="00526BB1" w:rsidRDefault="00526BB1"/>
        </w:tc>
      </w:tr>
      <w:tr w:rsidR="002E4E0F" w14:paraId="4CAB3A5D" w14:textId="77777777">
        <w:trPr>
          <w:trHeight w:val="100"/>
        </w:trPr>
        <w:tc>
          <w:tcPr>
            <w:tcW w:w="13" w:type="dxa"/>
          </w:tcPr>
          <w:p w14:paraId="36A7E2D2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61B57126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08C29700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2C278676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035E1DD6" w14:textId="77777777" w:rsidR="00526BB1" w:rsidRDefault="00526BB1">
            <w:pPr>
              <w:pStyle w:val="EmptyLayoutCell"/>
            </w:pPr>
          </w:p>
        </w:tc>
      </w:tr>
      <w:tr w:rsidR="00526BB1" w14:paraId="37626C3D" w14:textId="77777777" w:rsidTr="00526BB1">
        <w:tc>
          <w:tcPr>
            <w:tcW w:w="13" w:type="dxa"/>
          </w:tcPr>
          <w:p w14:paraId="5FEACE49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4DF8B1D1" w14:textId="77777777" w:rsidR="00526BB1" w:rsidRDefault="00526BB1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15993CA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CA7CF6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6B28C1A1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32B842DC" w14:textId="77777777" w:rsidR="00526BB1" w:rsidRDefault="00526BB1"/>
        </w:tc>
      </w:tr>
      <w:tr w:rsidR="002E4E0F" w14:paraId="437AD396" w14:textId="77777777">
        <w:trPr>
          <w:trHeight w:val="39"/>
        </w:trPr>
        <w:tc>
          <w:tcPr>
            <w:tcW w:w="13" w:type="dxa"/>
          </w:tcPr>
          <w:p w14:paraId="55DF3C8C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70229F46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7B452727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26FC0492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2D482331" w14:textId="77777777" w:rsidR="00526BB1" w:rsidRDefault="00526BB1">
            <w:pPr>
              <w:pStyle w:val="EmptyLayoutCell"/>
            </w:pPr>
          </w:p>
        </w:tc>
      </w:tr>
      <w:tr w:rsidR="00526BB1" w14:paraId="7752C835" w14:textId="77777777" w:rsidTr="00526BB1">
        <w:tc>
          <w:tcPr>
            <w:tcW w:w="13" w:type="dxa"/>
          </w:tcPr>
          <w:p w14:paraId="5A13F197" w14:textId="77777777" w:rsidR="00526BB1" w:rsidRDefault="00526BB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7DBBDD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80E5D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6436544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9D1E7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5F27E33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4BD49A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4A4D89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45D6C9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51F55D3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B03531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6EE056E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05B43D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69A647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2FED0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3482A1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068755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lastRenderedPageBreak/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1E9F32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88A143" w14:textId="77777777" w:rsidR="00526BB1" w:rsidRDefault="00526BB1"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6E4D0CA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2C499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0ABBD38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EB522A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5E5784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E9358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415FF9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8C2478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209A78D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C7D95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laikymosi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11AEDC1" w14:textId="77777777" w:rsidR="00526BB1" w:rsidRDefault="00526BB1"/>
        </w:tc>
      </w:tr>
      <w:tr w:rsidR="002E4E0F" w14:paraId="00BA3307" w14:textId="77777777">
        <w:trPr>
          <w:trHeight w:val="20"/>
        </w:trPr>
        <w:tc>
          <w:tcPr>
            <w:tcW w:w="13" w:type="dxa"/>
          </w:tcPr>
          <w:p w14:paraId="3DD7885F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10978CBD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20FEFB8A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71049E8B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59432A4A" w14:textId="77777777" w:rsidR="00526BB1" w:rsidRDefault="00526BB1">
            <w:pPr>
              <w:pStyle w:val="EmptyLayoutCell"/>
            </w:pPr>
          </w:p>
        </w:tc>
      </w:tr>
      <w:tr w:rsidR="00526BB1" w14:paraId="47B25C83" w14:textId="77777777" w:rsidTr="00526BB1">
        <w:tc>
          <w:tcPr>
            <w:tcW w:w="13" w:type="dxa"/>
          </w:tcPr>
          <w:p w14:paraId="0244345E" w14:textId="77777777" w:rsidR="00526BB1" w:rsidRDefault="00526BB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591D0D8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99CB2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netiesioginės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gamybai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schemą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7719D7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9CA95B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Lietuvos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skiriamam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5665E1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77F7B0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filmų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gamybos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gamybos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758E1C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80E998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gavėjų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18127A3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EA06C4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Palaiko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ryšius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audiovizualinį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sektorių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remiančiomis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inicijuojant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pritraukimo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E4E0F" w14:paraId="30F9778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E7C190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kino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ekspertų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6D6B0AB9" w14:textId="77777777" w:rsidR="00526BB1" w:rsidRDefault="00526BB1"/>
        </w:tc>
      </w:tr>
      <w:tr w:rsidR="002E4E0F" w14:paraId="58E591A9" w14:textId="77777777">
        <w:trPr>
          <w:trHeight w:val="19"/>
        </w:trPr>
        <w:tc>
          <w:tcPr>
            <w:tcW w:w="13" w:type="dxa"/>
          </w:tcPr>
          <w:p w14:paraId="2093F6CB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676F7E1E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3B4643D4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11A4EA52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7EBDF825" w14:textId="77777777" w:rsidR="00526BB1" w:rsidRDefault="00526BB1">
            <w:pPr>
              <w:pStyle w:val="EmptyLayoutCell"/>
            </w:pPr>
          </w:p>
        </w:tc>
      </w:tr>
      <w:tr w:rsidR="00526BB1" w14:paraId="034A0A9A" w14:textId="77777777" w:rsidTr="00526BB1">
        <w:tc>
          <w:tcPr>
            <w:tcW w:w="13" w:type="dxa"/>
          </w:tcPr>
          <w:p w14:paraId="7A11E1B9" w14:textId="77777777" w:rsidR="00526BB1" w:rsidRDefault="00526BB1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E4E0F" w14:paraId="6E3C8F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0D748A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44E72CB" w14:textId="77777777" w:rsidR="00526BB1" w:rsidRDefault="00526BB1"/>
        </w:tc>
      </w:tr>
      <w:tr w:rsidR="002E4E0F" w14:paraId="4FF39456" w14:textId="77777777">
        <w:trPr>
          <w:trHeight w:val="139"/>
        </w:trPr>
        <w:tc>
          <w:tcPr>
            <w:tcW w:w="13" w:type="dxa"/>
          </w:tcPr>
          <w:p w14:paraId="4A856AC5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7B5DE394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5BF097B4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37F8C6CF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5DEFB4AF" w14:textId="77777777" w:rsidR="00526BB1" w:rsidRDefault="00526BB1">
            <w:pPr>
              <w:pStyle w:val="EmptyLayoutCell"/>
            </w:pPr>
          </w:p>
        </w:tc>
      </w:tr>
      <w:tr w:rsidR="00526BB1" w14:paraId="1E514EA5" w14:textId="77777777" w:rsidTr="00526BB1">
        <w:tc>
          <w:tcPr>
            <w:tcW w:w="13" w:type="dxa"/>
          </w:tcPr>
          <w:p w14:paraId="4E8E7D42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4B683AE5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78A84EEF" w14:textId="77777777" w:rsidR="00526BB1" w:rsidRDefault="00526BB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2E4E0F" w14:paraId="62FE6D2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E92EAB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6BB03C19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E4E0F" w14:paraId="2A6C660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AEB541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65B4061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E4E0F" w14:paraId="4235C788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2E4E0F" w14:paraId="5C88822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B927468" w14:textId="77777777" w:rsidR="00526BB1" w:rsidRDefault="00526B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2E4E0F" w14:paraId="3297773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BF64A90" w14:textId="77777777" w:rsidR="00526BB1" w:rsidRDefault="00526BB1"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77C45675" w14:textId="77777777" w:rsidR="00526BB1" w:rsidRDefault="00526BB1"/>
                    </w:tc>
                  </w:tr>
                  <w:tr w:rsidR="002E4E0F" w14:paraId="138FADE2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2E4E0F" w14:paraId="0CD87E8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4347E28" w14:textId="77777777" w:rsidR="00526BB1" w:rsidRDefault="00526B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2E4E0F" w14:paraId="49D03CE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87ACB25" w14:textId="77777777" w:rsidR="00526BB1" w:rsidRDefault="00526B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kultūros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2E4E0F" w14:paraId="2740476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BE6547" w14:textId="77777777" w:rsidR="00526BB1" w:rsidRDefault="00526BB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2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680143B7" w14:textId="77777777" w:rsidR="00526BB1" w:rsidRDefault="00526BB1"/>
                    </w:tc>
                  </w:tr>
                </w:tbl>
                <w:p w14:paraId="0A0E67E2" w14:textId="77777777" w:rsidR="00526BB1" w:rsidRDefault="00526BB1"/>
              </w:tc>
            </w:tr>
            <w:tr w:rsidR="002E4E0F" w14:paraId="1CF9A9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5A9B03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0FCE465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E4E0F" w14:paraId="192FE76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0DC943E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29.1.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14:paraId="5DCCAB23" w14:textId="77777777" w:rsidR="00526BB1" w:rsidRDefault="00526BB1"/>
              </w:tc>
            </w:tr>
            <w:tr w:rsidR="002E4E0F" w14:paraId="2295471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E4E0F" w14:paraId="12E37DD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76C5AC7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 xml:space="preserve">29.2.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14:paraId="3C5EF978" w14:textId="77777777" w:rsidR="00526BB1" w:rsidRDefault="00526BB1"/>
              </w:tc>
            </w:tr>
          </w:tbl>
          <w:p w14:paraId="53D3FBD1" w14:textId="77777777" w:rsidR="00526BB1" w:rsidRDefault="00526BB1"/>
        </w:tc>
      </w:tr>
      <w:tr w:rsidR="002E4E0F" w14:paraId="2497A37C" w14:textId="77777777">
        <w:trPr>
          <w:trHeight w:val="62"/>
        </w:trPr>
        <w:tc>
          <w:tcPr>
            <w:tcW w:w="13" w:type="dxa"/>
          </w:tcPr>
          <w:p w14:paraId="3042E0B7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10B39EFB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55E6B622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0EE623FA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2DFED755" w14:textId="77777777" w:rsidR="00526BB1" w:rsidRDefault="00526BB1">
            <w:pPr>
              <w:pStyle w:val="EmptyLayoutCell"/>
            </w:pPr>
          </w:p>
        </w:tc>
      </w:tr>
      <w:tr w:rsidR="00526BB1" w14:paraId="3A5A104D" w14:textId="77777777" w:rsidTr="00526BB1">
        <w:tc>
          <w:tcPr>
            <w:tcW w:w="13" w:type="dxa"/>
          </w:tcPr>
          <w:p w14:paraId="68678A16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6729571D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37FFEDAB" w14:textId="77777777" w:rsidR="00526BB1" w:rsidRDefault="00526BB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2E4E0F" w14:paraId="1A3A45D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4D95CE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6B78F41F" w14:textId="77777777" w:rsidR="00526BB1" w:rsidRDefault="00526BB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E4E0F" w14:paraId="6B6D1B6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97322F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30.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440BED9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E4E0F" w14:paraId="54FD186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3C20315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2E4E0F" w14:paraId="38D08A4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9E87E8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2E4E0F" w14:paraId="4E53CE4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3549138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30.3.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2E4E0F" w14:paraId="673F3DF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01CADAC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30.4.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2E4E0F" w14:paraId="3D528B0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0399D42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30.5.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22AC38CE" w14:textId="77777777" w:rsidR="00526BB1" w:rsidRDefault="00526BB1"/>
              </w:tc>
            </w:tr>
            <w:tr w:rsidR="002E4E0F" w14:paraId="64F6C8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A74B0C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227EF0D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E4E0F" w14:paraId="0EF9CE4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A851815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206A20F4" w14:textId="77777777" w:rsidR="00526BB1" w:rsidRDefault="00526BB1"/>
              </w:tc>
            </w:tr>
            <w:tr w:rsidR="002E4E0F" w14:paraId="1D041FD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EACE95" w14:textId="77777777" w:rsidR="00526BB1" w:rsidRDefault="00526BB1">
                  <w:r>
                    <w:rPr>
                      <w:color w:val="000000"/>
                      <w:sz w:val="24"/>
                    </w:rPr>
                    <w:t xml:space="preserve">32.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Profesinės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E4E0F" w14:paraId="4E3999A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E4E0F" w14:paraId="214681C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4662BB" w14:textId="77777777" w:rsidR="00526BB1" w:rsidRDefault="00526BB1">
                        <w:r>
                          <w:rPr>
                            <w:color w:val="000000"/>
                            <w:sz w:val="24"/>
                          </w:rPr>
                          <w:t xml:space="preserve">32.1.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14:paraId="28EE04C4" w14:textId="77777777" w:rsidR="00526BB1" w:rsidRDefault="00526BB1"/>
              </w:tc>
            </w:tr>
          </w:tbl>
          <w:p w14:paraId="12C7D22B" w14:textId="77777777" w:rsidR="00526BB1" w:rsidRDefault="00526BB1"/>
        </w:tc>
      </w:tr>
      <w:tr w:rsidR="002E4E0F" w14:paraId="025F7BEB" w14:textId="77777777">
        <w:trPr>
          <w:trHeight w:val="517"/>
        </w:trPr>
        <w:tc>
          <w:tcPr>
            <w:tcW w:w="13" w:type="dxa"/>
          </w:tcPr>
          <w:p w14:paraId="2C301D1C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4CD98B6B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50C67651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68B5D139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222862B5" w14:textId="77777777" w:rsidR="00526BB1" w:rsidRDefault="00526BB1">
            <w:pPr>
              <w:pStyle w:val="EmptyLayoutCell"/>
            </w:pPr>
          </w:p>
        </w:tc>
      </w:tr>
      <w:tr w:rsidR="00526BB1" w14:paraId="4D1FC806" w14:textId="77777777" w:rsidTr="00526BB1">
        <w:tc>
          <w:tcPr>
            <w:tcW w:w="13" w:type="dxa"/>
          </w:tcPr>
          <w:p w14:paraId="2421A8C2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3A53F1C5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416EF47F" w14:textId="77777777" w:rsidR="00526BB1" w:rsidRDefault="00526BB1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2E4E0F" w14:paraId="63F2EF8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A6957C" w14:textId="77777777" w:rsidR="00526BB1" w:rsidRDefault="00526BB1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C19EBA" w14:textId="77777777" w:rsidR="00526BB1" w:rsidRDefault="00526BB1"/>
              </w:tc>
            </w:tr>
            <w:tr w:rsidR="002E4E0F" w14:paraId="4E85AF3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C0374" w14:textId="77777777" w:rsidR="00526BB1" w:rsidRDefault="00526B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7D6B2F" w14:textId="77777777" w:rsidR="00526BB1" w:rsidRDefault="00526BB1"/>
              </w:tc>
            </w:tr>
            <w:tr w:rsidR="002E4E0F" w14:paraId="4370674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05D5F" w14:textId="77777777" w:rsidR="00526BB1" w:rsidRDefault="00526BB1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2AF7C8" w14:textId="77777777" w:rsidR="00526BB1" w:rsidRDefault="00526BB1"/>
              </w:tc>
            </w:tr>
            <w:tr w:rsidR="002E4E0F" w14:paraId="17906FA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3714C4" w14:textId="77777777" w:rsidR="00526BB1" w:rsidRDefault="00526B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24745A" w14:textId="77777777" w:rsidR="00526BB1" w:rsidRDefault="00526BB1"/>
              </w:tc>
            </w:tr>
            <w:tr w:rsidR="002E4E0F" w14:paraId="386C3AE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18DE32" w14:textId="77777777" w:rsidR="00526BB1" w:rsidRDefault="00526BB1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10ED4C" w14:textId="77777777" w:rsidR="00526BB1" w:rsidRDefault="00526BB1"/>
              </w:tc>
            </w:tr>
            <w:tr w:rsidR="002E4E0F" w14:paraId="7AEA793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1B7B0B" w14:textId="77777777" w:rsidR="00526BB1" w:rsidRDefault="00526B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4C1C67" w14:textId="77777777" w:rsidR="00526BB1" w:rsidRDefault="00526BB1"/>
              </w:tc>
            </w:tr>
            <w:tr w:rsidR="002E4E0F" w14:paraId="54929081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98FCC" w14:textId="77777777" w:rsidR="00526BB1" w:rsidRDefault="00526BB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E43FA" w14:textId="77777777" w:rsidR="00526BB1" w:rsidRDefault="00526BB1"/>
              </w:tc>
            </w:tr>
            <w:tr w:rsidR="002E4E0F" w14:paraId="3134BB3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E9808" w14:textId="77777777" w:rsidR="00526BB1" w:rsidRDefault="00526BB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DB255A" w14:textId="77777777" w:rsidR="00526BB1" w:rsidRDefault="00526BB1"/>
              </w:tc>
            </w:tr>
          </w:tbl>
          <w:p w14:paraId="4F0039A6" w14:textId="77777777" w:rsidR="00526BB1" w:rsidRDefault="00526BB1"/>
        </w:tc>
      </w:tr>
      <w:tr w:rsidR="002E4E0F" w14:paraId="4D311C9A" w14:textId="77777777">
        <w:trPr>
          <w:trHeight w:val="41"/>
        </w:trPr>
        <w:tc>
          <w:tcPr>
            <w:tcW w:w="13" w:type="dxa"/>
          </w:tcPr>
          <w:p w14:paraId="57495C07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345C6E2E" w14:textId="77777777" w:rsidR="00526BB1" w:rsidRDefault="00526BB1">
            <w:pPr>
              <w:pStyle w:val="EmptyLayoutCell"/>
            </w:pPr>
          </w:p>
        </w:tc>
        <w:tc>
          <w:tcPr>
            <w:tcW w:w="1" w:type="dxa"/>
          </w:tcPr>
          <w:p w14:paraId="58FBBB4B" w14:textId="77777777" w:rsidR="00526BB1" w:rsidRDefault="00526BB1">
            <w:pPr>
              <w:pStyle w:val="EmptyLayoutCell"/>
            </w:pPr>
          </w:p>
        </w:tc>
        <w:tc>
          <w:tcPr>
            <w:tcW w:w="9055" w:type="dxa"/>
          </w:tcPr>
          <w:p w14:paraId="4C4D0B41" w14:textId="77777777" w:rsidR="00526BB1" w:rsidRDefault="00526BB1">
            <w:pPr>
              <w:pStyle w:val="EmptyLayoutCell"/>
            </w:pPr>
          </w:p>
        </w:tc>
        <w:tc>
          <w:tcPr>
            <w:tcW w:w="13" w:type="dxa"/>
          </w:tcPr>
          <w:p w14:paraId="42B5A2BE" w14:textId="77777777" w:rsidR="00526BB1" w:rsidRDefault="00526BB1">
            <w:pPr>
              <w:pStyle w:val="EmptyLayoutCell"/>
            </w:pPr>
          </w:p>
        </w:tc>
      </w:tr>
    </w:tbl>
    <w:p w14:paraId="70232805" w14:textId="77777777" w:rsidR="00526BB1" w:rsidRDefault="00526BB1"/>
    <w:sectPr w:rsidR="00526BB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BB1"/>
    <w:rsid w:val="002E4E0F"/>
    <w:rsid w:val="00526BB1"/>
    <w:rsid w:val="007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04B0E"/>
  <w15:chartTrackingRefBased/>
  <w15:docId w15:val="{0FA53BA8-68EC-4239-A8CF-7DC13D65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3632</Words>
  <Characters>2071</Characters>
  <Application>Microsoft Office Word</Application>
  <DocSecurity>0</DocSecurity>
  <Lines>17</Lines>
  <Paragraphs>11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Indrė Baumilaitė</dc:creator>
  <cp:keywords/>
  <cp:lastModifiedBy>Indrė Baumilaitė</cp:lastModifiedBy>
  <cp:revision>3</cp:revision>
  <dcterms:created xsi:type="dcterms:W3CDTF">2024-02-01T11:11:00Z</dcterms:created>
  <dcterms:modified xsi:type="dcterms:W3CDTF">2024-02-02T08:22:00Z</dcterms:modified>
</cp:coreProperties>
</file>